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4"/>
          <w:szCs w:val="44"/>
        </w:rPr>
      </w:pPr>
    </w:p>
    <w:p>
      <w:pPr>
        <w:jc w:val="center"/>
        <w:rPr>
          <w:rFonts w:ascii="Times New Roman" w:hAnsi="Times New Roman" w:eastAsia="黑体" w:cs="Times New Roman"/>
          <w:sz w:val="52"/>
          <w:szCs w:val="52"/>
        </w:rPr>
      </w:pPr>
      <w:r>
        <w:rPr>
          <w:rFonts w:ascii="Times New Roman" w:hAnsi="Times New Roman" w:eastAsia="黑体" w:cs="Times New Roman"/>
          <w:sz w:val="52"/>
          <w:szCs w:val="52"/>
        </w:rPr>
        <w:t xml:space="preserve">生产建设项目水土保持设施 </w:t>
      </w:r>
    </w:p>
    <w:p>
      <w:pPr>
        <w:jc w:val="center"/>
        <w:rPr>
          <w:rFonts w:ascii="Times New Roman" w:hAnsi="Times New Roman" w:eastAsia="楷体_GB2312" w:cs="Times New Roman"/>
          <w:sz w:val="84"/>
          <w:szCs w:val="84"/>
        </w:rPr>
      </w:pPr>
      <w:r>
        <w:rPr>
          <w:rFonts w:ascii="Times New Roman" w:hAnsi="Times New Roman" w:eastAsia="楷体_GB2312" w:cs="Times New Roman"/>
          <w:sz w:val="84"/>
          <w:szCs w:val="84"/>
        </w:rPr>
        <w:t>验收鉴定书</w:t>
      </w:r>
    </w:p>
    <w:p>
      <w:pPr>
        <w:spacing w:before="156" w:beforeLines="50" w:after="156" w:afterLines="50" w:line="360" w:lineRule="auto"/>
        <w:jc w:val="center"/>
        <w:rPr>
          <w:rFonts w:ascii="Times New Roman" w:hAnsi="Times New Roman" w:cs="Times New Roman"/>
          <w:sz w:val="28"/>
          <w:szCs w:val="28"/>
        </w:rPr>
      </w:pPr>
    </w:p>
    <w:p>
      <w:pPr>
        <w:spacing w:before="156" w:beforeLines="50" w:after="156" w:afterLines="50" w:line="360" w:lineRule="auto"/>
        <w:rPr>
          <w:rFonts w:ascii="Times New Roman" w:hAnsi="Times New Roman" w:cs="Times New Roman"/>
          <w:sz w:val="28"/>
          <w:szCs w:val="28"/>
        </w:rPr>
      </w:pPr>
    </w:p>
    <w:p>
      <w:pPr>
        <w:spacing w:before="156" w:beforeLines="50" w:after="156" w:afterLines="50" w:line="360" w:lineRule="auto"/>
        <w:rPr>
          <w:rFonts w:ascii="Times New Roman" w:hAnsi="Times New Roman" w:cs="Times New Roman"/>
          <w:sz w:val="28"/>
          <w:szCs w:val="28"/>
        </w:rPr>
      </w:pPr>
    </w:p>
    <w:p>
      <w:pPr>
        <w:spacing w:before="156" w:beforeLines="50" w:after="156" w:afterLines="50" w:line="360" w:lineRule="auto"/>
        <w:rPr>
          <w:rFonts w:ascii="Times New Roman" w:hAnsi="Times New Roman" w:cs="Times New Roman"/>
          <w:sz w:val="28"/>
          <w:szCs w:val="28"/>
        </w:rPr>
      </w:pPr>
    </w:p>
    <w:p>
      <w:pPr>
        <w:spacing w:before="156" w:beforeLines="50" w:after="156" w:afterLines="50" w:line="360" w:lineRule="auto"/>
        <w:rPr>
          <w:rFonts w:ascii="Times New Roman" w:hAnsi="Times New Roman" w:cs="Times New Roman"/>
          <w:sz w:val="28"/>
          <w:szCs w:val="28"/>
        </w:rPr>
      </w:pPr>
    </w:p>
    <w:p>
      <w:pPr>
        <w:spacing w:line="360" w:lineRule="auto"/>
        <w:rPr>
          <w:rFonts w:ascii="Times New Roman" w:hAnsi="Times New Roman" w:eastAsia="黑体" w:cs="Times New Roman"/>
          <w:sz w:val="28"/>
          <w:szCs w:val="28"/>
        </w:rPr>
      </w:pPr>
    </w:p>
    <w:p>
      <w:pPr>
        <w:spacing w:line="360" w:lineRule="auto"/>
        <w:ind w:left="2239" w:leftChars="266" w:hanging="1680" w:hangingChars="600"/>
        <w:rPr>
          <w:rFonts w:ascii="Times New Roman" w:hAnsi="Times New Roman" w:eastAsia="宋体" w:cs="Times New Roman"/>
          <w:b/>
          <w:spacing w:val="20"/>
          <w:sz w:val="36"/>
          <w:szCs w:val="36"/>
        </w:rPr>
      </w:pPr>
      <w:r>
        <w:rPr>
          <w:rFonts w:ascii="Times New Roman" w:hAnsi="Times New Roman" w:eastAsia="黑体" w:cs="Times New Roman"/>
          <w:sz w:val="28"/>
          <w:szCs w:val="28"/>
        </w:rPr>
        <w:t xml:space="preserve">项 目 名 称 </w:t>
      </w:r>
      <w:r>
        <w:rPr>
          <w:rFonts w:hint="eastAsia" w:ascii="Times New Roman" w:hAnsi="Times New Roman" w:eastAsia="宋体" w:cs="Times New Roman"/>
          <w:bCs/>
          <w:sz w:val="28"/>
          <w:szCs w:val="28"/>
          <w:u w:val="single"/>
        </w:rPr>
        <w:t xml:space="preserve">     东方花园1#、2#、综合楼建设项目</w:t>
      </w:r>
      <w:r>
        <w:rPr>
          <w:rFonts w:ascii="Times New Roman" w:hAnsi="Times New Roman" w:eastAsia="宋体" w:cs="Times New Roman"/>
          <w:bCs/>
          <w:sz w:val="28"/>
          <w:szCs w:val="28"/>
          <w:u w:val="single"/>
        </w:rPr>
        <w:t xml:space="preserve"> </w:t>
      </w:r>
      <w:r>
        <w:rPr>
          <w:rFonts w:hint="eastAsia" w:ascii="Times New Roman" w:hAnsi="Times New Roman" w:eastAsia="黑体" w:cs="Times New Roman"/>
          <w:sz w:val="28"/>
          <w:szCs w:val="28"/>
          <w:u w:val="single"/>
        </w:rPr>
        <w:t xml:space="preserve">        </w:t>
      </w:r>
    </w:p>
    <w:p>
      <w:pPr>
        <w:spacing w:line="360" w:lineRule="auto"/>
        <w:ind w:firstLine="560" w:firstLineChars="200"/>
        <w:rPr>
          <w:rFonts w:ascii="Times New Roman" w:hAnsi="Times New Roman" w:eastAsia="黑体" w:cs="Times New Roman"/>
          <w:bCs/>
          <w:sz w:val="28"/>
          <w:szCs w:val="28"/>
        </w:rPr>
      </w:pPr>
      <w:r>
        <w:rPr>
          <w:rFonts w:ascii="Times New Roman" w:hAnsi="Times New Roman" w:eastAsia="黑体" w:cs="Times New Roman"/>
          <w:sz w:val="28"/>
          <w:szCs w:val="28"/>
        </w:rPr>
        <w:t xml:space="preserve">项 目 编 号 </w:t>
      </w:r>
      <w:r>
        <w:rPr>
          <w:rFonts w:hint="eastAsia" w:ascii="Times New Roman" w:hAnsi="Times New Roman" w:eastAsia="黑体" w:cs="Times New Roman"/>
          <w:sz w:val="28"/>
          <w:szCs w:val="28"/>
          <w:u w:val="single"/>
        </w:rPr>
        <w:t xml:space="preserve">           </w:t>
      </w:r>
      <w:r>
        <w:rPr>
          <w:rFonts w:hint="eastAsia" w:ascii="Times New Roman" w:hAnsi="Times New Roman" w:eastAsia="宋体" w:cs="Times New Roman"/>
          <w:bCs/>
          <w:sz w:val="28"/>
          <w:szCs w:val="28"/>
          <w:u w:val="single"/>
        </w:rPr>
        <w:t>海发改投资[2018]</w:t>
      </w:r>
      <w:r>
        <w:rPr>
          <w:rFonts w:hint="eastAsia" w:ascii="Times New Roman" w:hAnsi="Times New Roman" w:eastAsia="宋体" w:cs="Times New Roman"/>
          <w:bCs/>
          <w:sz w:val="28"/>
          <w:szCs w:val="28"/>
          <w:u w:val="single"/>
          <w:lang w:val="en-US" w:eastAsia="zh-CN"/>
        </w:rPr>
        <w:t>247</w:t>
      </w:r>
      <w:r>
        <w:rPr>
          <w:rFonts w:hint="eastAsia" w:ascii="Times New Roman" w:hAnsi="Times New Roman" w:eastAsia="宋体" w:cs="Times New Roman"/>
          <w:bCs/>
          <w:sz w:val="28"/>
          <w:szCs w:val="28"/>
          <w:u w:val="single"/>
        </w:rPr>
        <w:t>号</w:t>
      </w:r>
      <w:r>
        <w:rPr>
          <w:rFonts w:hint="eastAsia" w:ascii="Times New Roman" w:hAnsi="Times New Roman" w:eastAsia="黑体" w:cs="Times New Roman"/>
          <w:color w:val="auto"/>
          <w:sz w:val="28"/>
          <w:szCs w:val="28"/>
          <w:u w:val="single"/>
        </w:rPr>
        <w:t xml:space="preserve">             </w:t>
      </w:r>
      <w:r>
        <w:rPr>
          <w:rFonts w:hint="eastAsia" w:ascii="Times New Roman" w:hAnsi="Times New Roman" w:eastAsia="宋体" w:cs="Times New Roman"/>
          <w:bCs/>
          <w:color w:val="auto"/>
          <w:sz w:val="28"/>
          <w:szCs w:val="28"/>
          <w:u w:val="single"/>
        </w:rPr>
        <w:t xml:space="preserve">        </w:t>
      </w:r>
      <w:r>
        <w:rPr>
          <w:rFonts w:hint="eastAsia" w:ascii="Times New Roman" w:hAnsi="Times New Roman" w:eastAsia="宋体" w:cs="Times New Roman"/>
          <w:bCs/>
          <w:sz w:val="28"/>
          <w:szCs w:val="28"/>
          <w:u w:val="single"/>
        </w:rPr>
        <w:t xml:space="preserve">    </w:t>
      </w:r>
    </w:p>
    <w:p>
      <w:pPr>
        <w:spacing w:line="360" w:lineRule="auto"/>
        <w:ind w:firstLine="560" w:firstLineChars="200"/>
        <w:rPr>
          <w:rFonts w:ascii="Times New Roman" w:hAnsi="Times New Roman" w:cs="Times New Roman"/>
          <w:bCs/>
          <w:color w:val="000000"/>
          <w:sz w:val="28"/>
          <w:szCs w:val="28"/>
          <w:u w:val="single"/>
        </w:rPr>
      </w:pPr>
      <w:r>
        <w:rPr>
          <w:rFonts w:ascii="Times New Roman" w:hAnsi="Times New Roman" w:eastAsia="黑体" w:cs="Times New Roman"/>
          <w:sz w:val="28"/>
          <w:szCs w:val="28"/>
        </w:rPr>
        <w:t xml:space="preserve">建 设 地 点  </w:t>
      </w:r>
      <w:r>
        <w:rPr>
          <w:rFonts w:hint="eastAsia" w:ascii="Times New Roman" w:hAnsi="Times New Roman" w:eastAsia="黑体" w:cs="Times New Roman"/>
          <w:sz w:val="28"/>
          <w:szCs w:val="28"/>
          <w:u w:val="single"/>
        </w:rPr>
        <w:t xml:space="preserve">   </w:t>
      </w:r>
      <w:r>
        <w:rPr>
          <w:rFonts w:hint="eastAsia" w:ascii="Times New Roman" w:hAnsi="Times New Roman" w:eastAsia="宋体" w:cs="Times New Roman"/>
          <w:bCs/>
          <w:sz w:val="28"/>
          <w:szCs w:val="28"/>
          <w:u w:val="single"/>
        </w:rPr>
        <w:t xml:space="preserve">海阳市方圆街道东凤大道西、海盛路南       </w:t>
      </w:r>
      <w:r>
        <w:rPr>
          <w:rFonts w:hint="eastAsia" w:ascii="Times New Roman" w:hAnsi="Times New Roman" w:cs="Times New Roman"/>
          <w:bCs/>
          <w:sz w:val="28"/>
          <w:szCs w:val="28"/>
          <w:u w:val="single"/>
        </w:rPr>
        <w:t xml:space="preserve">   </w:t>
      </w:r>
    </w:p>
    <w:p>
      <w:pPr>
        <w:spacing w:line="360" w:lineRule="auto"/>
        <w:ind w:firstLine="560" w:firstLineChars="200"/>
        <w:rPr>
          <w:rFonts w:ascii="宋体" w:hAnsi="宋体" w:eastAsia="宋体" w:cs="宋体"/>
          <w:bCs/>
          <w:sz w:val="28"/>
          <w:szCs w:val="28"/>
          <w:u w:val="single"/>
        </w:rPr>
      </w:pPr>
      <w:r>
        <w:rPr>
          <w:rFonts w:ascii="Times New Roman" w:hAnsi="Times New Roman" w:eastAsia="黑体" w:cs="Times New Roman"/>
          <w:sz w:val="28"/>
          <w:szCs w:val="28"/>
        </w:rPr>
        <w:t xml:space="preserve">验 </w:t>
      </w:r>
      <w:r>
        <w:rPr>
          <w:rFonts w:ascii="Times New Roman" w:hAnsi="Times New Roman" w:eastAsia="黑体" w:cs="Times New Roman"/>
          <w:spacing w:val="-20"/>
          <w:sz w:val="28"/>
          <w:szCs w:val="28"/>
        </w:rPr>
        <w:t xml:space="preserve">收 </w:t>
      </w:r>
      <w:r>
        <w:rPr>
          <w:rFonts w:ascii="Times New Roman" w:hAnsi="Times New Roman" w:eastAsia="黑体" w:cs="Times New Roman"/>
          <w:spacing w:val="-20"/>
          <w:sz w:val="18"/>
          <w:szCs w:val="18"/>
        </w:rPr>
        <w:t xml:space="preserve">  </w:t>
      </w:r>
      <w:r>
        <w:rPr>
          <w:rFonts w:ascii="Times New Roman" w:hAnsi="Times New Roman" w:eastAsia="黑体" w:cs="Times New Roman"/>
          <w:spacing w:val="-20"/>
          <w:sz w:val="28"/>
          <w:szCs w:val="28"/>
        </w:rPr>
        <w:t xml:space="preserve">单  </w:t>
      </w:r>
      <w:r>
        <w:rPr>
          <w:rFonts w:ascii="Times New Roman" w:hAnsi="Times New Roman" w:eastAsia="黑体" w:cs="Times New Roman"/>
          <w:sz w:val="28"/>
          <w:szCs w:val="28"/>
        </w:rPr>
        <w:t xml:space="preserve">位  </w:t>
      </w:r>
      <w:r>
        <w:rPr>
          <w:rFonts w:ascii="Times New Roman" w:hAnsi="Times New Roman" w:cs="Times New Roman"/>
          <w:bCs/>
          <w:sz w:val="28"/>
          <w:szCs w:val="28"/>
          <w:u w:val="single"/>
        </w:rPr>
        <w:t xml:space="preserve"> </w:t>
      </w:r>
      <w:r>
        <w:rPr>
          <w:rFonts w:hint="eastAsia" w:ascii="宋体" w:hAnsi="宋体" w:eastAsia="宋体" w:cs="宋体"/>
          <w:bCs/>
          <w:sz w:val="28"/>
          <w:szCs w:val="28"/>
          <w:u w:val="single"/>
        </w:rPr>
        <w:t xml:space="preserve">         </w:t>
      </w:r>
      <w:r>
        <w:rPr>
          <w:rFonts w:hint="eastAsia" w:ascii="Times New Roman" w:hAnsi="Times New Roman" w:eastAsia="宋体" w:cs="Times New Roman"/>
          <w:bCs/>
          <w:sz w:val="28"/>
          <w:szCs w:val="28"/>
          <w:u w:val="single"/>
        </w:rPr>
        <w:t xml:space="preserve">海阳新瑞置业有限公司 </w:t>
      </w:r>
      <w:r>
        <w:rPr>
          <w:rFonts w:hint="eastAsia" w:ascii="宋体" w:hAnsi="宋体" w:eastAsia="宋体" w:cs="宋体"/>
          <w:bCs/>
          <w:sz w:val="28"/>
          <w:szCs w:val="28"/>
          <w:u w:val="single"/>
        </w:rPr>
        <w:t xml:space="preserve">            </w:t>
      </w:r>
    </w:p>
    <w:p>
      <w:pPr>
        <w:rPr>
          <w:rFonts w:ascii="Times New Roman" w:hAnsi="Times New Roman" w:cs="Times New Roman"/>
        </w:rPr>
      </w:pPr>
    </w:p>
    <w:p>
      <w:pPr>
        <w:rPr>
          <w:rFonts w:ascii="Times New Roman" w:hAnsi="Times New Roman" w:cs="Times New Roman"/>
        </w:rPr>
      </w:pPr>
    </w:p>
    <w:p>
      <w:pPr>
        <w:spacing w:before="156" w:beforeLines="50" w:after="156" w:afterLines="50"/>
        <w:jc w:val="center"/>
        <w:rPr>
          <w:rFonts w:ascii="Times New Roman" w:hAnsi="Times New Roman" w:cs="Times New Roman"/>
          <w:b/>
          <w:sz w:val="28"/>
          <w:szCs w:val="28"/>
          <w:u w:val="single"/>
        </w:rPr>
      </w:pPr>
    </w:p>
    <w:p>
      <w:pPr>
        <w:spacing w:before="156" w:beforeLines="50" w:after="156" w:afterLines="50"/>
        <w:jc w:val="center"/>
        <w:rPr>
          <w:rFonts w:ascii="Times New Roman" w:hAnsi="Times New Roman" w:eastAsia="宋体" w:cs="Times New Roman"/>
          <w:color w:val="000000"/>
          <w:sz w:val="28"/>
          <w:szCs w:val="28"/>
          <w:highlight w:val="yellow"/>
        </w:rPr>
      </w:pPr>
      <w:r>
        <w:rPr>
          <w:rFonts w:ascii="Times New Roman" w:hAnsi="Times New Roman" w:eastAsia="宋体" w:cs="Times New Roman"/>
          <w:sz w:val="28"/>
          <w:szCs w:val="28"/>
        </w:rPr>
        <w:t>20</w:t>
      </w:r>
      <w:r>
        <w:rPr>
          <w:rFonts w:hint="eastAsia" w:ascii="Times New Roman" w:hAnsi="Times New Roman" w:eastAsia="宋体" w:cs="Times New Roman"/>
          <w:sz w:val="28"/>
          <w:szCs w:val="28"/>
        </w:rPr>
        <w:t>20</w:t>
      </w:r>
      <w:r>
        <w:rPr>
          <w:rFonts w:ascii="Times New Roman" w:hAnsi="Times New Roman" w:eastAsia="宋体" w:cs="Times New Roman"/>
          <w:sz w:val="28"/>
          <w:szCs w:val="28"/>
        </w:rPr>
        <w:t xml:space="preserve">年 </w:t>
      </w:r>
      <w:r>
        <w:rPr>
          <w:rFonts w:hint="eastAsia" w:ascii="Times New Roman" w:hAnsi="Times New Roman" w:eastAsia="宋体" w:cs="Times New Roman"/>
          <w:color w:val="000000" w:themeColor="text1"/>
          <w:sz w:val="28"/>
          <w:szCs w:val="28"/>
          <w14:textFill>
            <w14:solidFill>
              <w14:schemeClr w14:val="tx1"/>
            </w14:solidFill>
          </w14:textFill>
        </w:rPr>
        <w:t>12</w:t>
      </w:r>
      <w:r>
        <w:rPr>
          <w:rFonts w:ascii="Times New Roman" w:hAnsi="Times New Roman" w:eastAsia="宋体" w:cs="Times New Roman"/>
          <w:color w:val="000000" w:themeColor="text1"/>
          <w:sz w:val="28"/>
          <w:szCs w:val="28"/>
          <w14:textFill>
            <w14:solidFill>
              <w14:schemeClr w14:val="tx1"/>
            </w14:solidFill>
          </w14:textFill>
        </w:rPr>
        <w:t xml:space="preserve">月 </w:t>
      </w:r>
      <w:r>
        <w:rPr>
          <w:rFonts w:hint="eastAsia" w:ascii="Times New Roman" w:hAnsi="Times New Roman" w:eastAsia="宋体" w:cs="Times New Roman"/>
          <w:color w:val="000000" w:themeColor="text1"/>
          <w:sz w:val="28"/>
          <w:szCs w:val="28"/>
          <w14:textFill>
            <w14:solidFill>
              <w14:schemeClr w14:val="tx1"/>
            </w14:solidFill>
          </w14:textFill>
        </w:rPr>
        <w:t>29</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Times New Roman" w:eastAsia="宋体" w:cs="Times New Roman"/>
          <w:sz w:val="28"/>
          <w:szCs w:val="28"/>
        </w:rPr>
        <w:t>日</w:t>
      </w:r>
    </w:p>
    <w:p>
      <w:pPr>
        <w:spacing w:before="156" w:beforeLines="50" w:after="156" w:afterLines="50"/>
        <w:rPr>
          <w:rFonts w:ascii="Times New Roman" w:hAnsi="Times New Roman" w:eastAsia="楷体_GB2312" w:cs="Times New Roman"/>
          <w:b/>
          <w:sz w:val="30"/>
          <w:szCs w:val="30"/>
          <w:highlight w:val="yellow"/>
        </w:rPr>
        <w:sectPr>
          <w:pgSz w:w="11906" w:h="16838"/>
          <w:pgMar w:top="1440" w:right="1800" w:bottom="1440" w:left="1800" w:header="851" w:footer="992" w:gutter="0"/>
          <w:cols w:space="425" w:num="1"/>
          <w:docGrid w:type="lines" w:linePitch="312" w:charSpace="0"/>
        </w:sectPr>
      </w:pPr>
    </w:p>
    <w:p>
      <w:pPr>
        <w:spacing w:before="156" w:beforeLines="50" w:after="156" w:afterLines="50"/>
        <w:rPr>
          <w:rFonts w:ascii="Times New Roman" w:hAnsi="Times New Roman" w:eastAsia="黑体" w:cs="Times New Roman"/>
          <w:sz w:val="30"/>
          <w:szCs w:val="30"/>
        </w:rPr>
      </w:pPr>
      <w:r>
        <w:rPr>
          <w:rFonts w:hint="eastAsia" w:ascii="Times New Roman" w:hAnsi="Times New Roman" w:eastAsia="楷体_GB2312" w:cs="Times New Roman"/>
          <w:b/>
          <w:sz w:val="30"/>
          <w:szCs w:val="30"/>
        </w:rPr>
        <w:t xml:space="preserve">    </w:t>
      </w:r>
      <w:r>
        <w:rPr>
          <w:rFonts w:ascii="Times New Roman" w:hAnsi="Times New Roman" w:eastAsia="黑体" w:cs="Times New Roman"/>
          <w:sz w:val="30"/>
          <w:szCs w:val="30"/>
        </w:rPr>
        <w:t>一、生产建设项目水土保持设施验收基本情况表</w:t>
      </w:r>
    </w:p>
    <w:tbl>
      <w:tblPr>
        <w:tblStyle w:val="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303"/>
        <w:gridCol w:w="80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4303"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东方花园1#、2#、综合楼建设项目</w:t>
            </w:r>
          </w:p>
        </w:tc>
        <w:tc>
          <w:tcPr>
            <w:tcW w:w="806" w:type="dxa"/>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行业类别</w:t>
            </w:r>
          </w:p>
        </w:tc>
        <w:tc>
          <w:tcPr>
            <w:tcW w:w="102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房地产工程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主管部门</w:t>
            </w:r>
          </w:p>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（或主要投资方）</w:t>
            </w:r>
          </w:p>
        </w:tc>
        <w:tc>
          <w:tcPr>
            <w:tcW w:w="4303" w:type="dxa"/>
            <w:vAlign w:val="center"/>
          </w:tcPr>
          <w:p>
            <w:pPr>
              <w:ind w:firstLine="120" w:firstLineChars="50"/>
              <w:jc w:val="center"/>
              <w:rPr>
                <w:rFonts w:ascii="宋体" w:hAnsi="宋体" w:eastAsia="宋体" w:cs="宋体"/>
                <w:color w:val="000000"/>
                <w:sz w:val="24"/>
                <w:szCs w:val="24"/>
              </w:rPr>
            </w:pPr>
            <w:r>
              <w:rPr>
                <w:rFonts w:hint="eastAsia" w:ascii="宋体" w:hAnsi="宋体" w:eastAsia="宋体" w:cs="宋体"/>
                <w:color w:val="000000"/>
                <w:sz w:val="24"/>
                <w:szCs w:val="24"/>
              </w:rPr>
              <w:t>海阳新瑞置业有限公司</w:t>
            </w:r>
          </w:p>
        </w:tc>
        <w:tc>
          <w:tcPr>
            <w:tcW w:w="806" w:type="dxa"/>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项目性质</w:t>
            </w:r>
          </w:p>
        </w:tc>
        <w:tc>
          <w:tcPr>
            <w:tcW w:w="102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水土保持方案批复机关、文号及时间</w:t>
            </w:r>
          </w:p>
        </w:tc>
        <w:tc>
          <w:tcPr>
            <w:tcW w:w="6135" w:type="dxa"/>
            <w:gridSpan w:val="3"/>
            <w:vAlign w:val="center"/>
          </w:tcPr>
          <w:p>
            <w:pPr>
              <w:ind w:firstLine="120" w:firstLineChars="50"/>
              <w:jc w:val="center"/>
              <w:rPr>
                <w:rFonts w:ascii="宋体" w:hAnsi="宋体" w:eastAsia="宋体" w:cs="宋体"/>
                <w:color w:val="000000"/>
                <w:sz w:val="24"/>
                <w:szCs w:val="24"/>
              </w:rPr>
            </w:pPr>
            <w:r>
              <w:rPr>
                <w:rFonts w:hint="eastAsia" w:ascii="宋体" w:hAnsi="宋体" w:eastAsia="宋体" w:cs="宋体"/>
                <w:color w:val="000000"/>
                <w:sz w:val="24"/>
                <w:szCs w:val="24"/>
              </w:rPr>
              <w:t>海阳市行政审批服务局、海审批水保函字〔2020〕63号、2020年12月23日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水土保持方案变更批复机关、文号及时间</w:t>
            </w:r>
          </w:p>
        </w:tc>
        <w:tc>
          <w:tcPr>
            <w:tcW w:w="6135" w:type="dxa"/>
            <w:gridSpan w:val="3"/>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水土保持初步设计批复机关、文号及时间</w:t>
            </w:r>
          </w:p>
        </w:tc>
        <w:tc>
          <w:tcPr>
            <w:tcW w:w="6135" w:type="dxa"/>
            <w:gridSpan w:val="3"/>
            <w:vAlign w:val="center"/>
          </w:tcPr>
          <w:p>
            <w:pPr>
              <w:jc w:val="center"/>
              <w:rPr>
                <w:rFonts w:ascii="宋体" w:hAnsi="宋体" w:eastAsia="宋体" w:cs="宋体"/>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项目建设起止时间</w:t>
            </w:r>
          </w:p>
        </w:tc>
        <w:tc>
          <w:tcPr>
            <w:tcW w:w="6135" w:type="dxa"/>
            <w:gridSpan w:val="3"/>
            <w:vAlign w:val="center"/>
          </w:tcPr>
          <w:p>
            <w:pPr>
              <w:ind w:left="120" w:leftChars="57" w:right="120"/>
              <w:jc w:val="center"/>
              <w:rPr>
                <w:rFonts w:ascii="宋体" w:hAnsi="宋体" w:eastAsia="宋体" w:cs="宋体"/>
                <w:sz w:val="24"/>
                <w:szCs w:val="24"/>
              </w:rPr>
            </w:pPr>
            <w:r>
              <w:rPr>
                <w:rFonts w:hint="eastAsia" w:ascii="宋体" w:hAnsi="宋体" w:eastAsia="宋体" w:cs="宋体"/>
                <w:sz w:val="24"/>
                <w:szCs w:val="24"/>
              </w:rPr>
              <w:t>2018年5月—2019年4月，总工期12个月。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水土保持方案编制单位</w:t>
            </w:r>
          </w:p>
        </w:tc>
        <w:tc>
          <w:tcPr>
            <w:tcW w:w="6135" w:type="dxa"/>
            <w:gridSpan w:val="3"/>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烟台市翔海工程项目管理有限公司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水土保持初步设计单位</w:t>
            </w:r>
          </w:p>
        </w:tc>
        <w:tc>
          <w:tcPr>
            <w:tcW w:w="6135" w:type="dxa"/>
            <w:gridSpan w:val="3"/>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山东三元建筑设计有限公司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水土保持监测单位</w:t>
            </w:r>
          </w:p>
        </w:tc>
        <w:tc>
          <w:tcPr>
            <w:tcW w:w="6135" w:type="dxa"/>
            <w:gridSpan w:val="3"/>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烟台市瑞赢工程项目管理有限公司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水土保持施工单位</w:t>
            </w:r>
          </w:p>
        </w:tc>
        <w:tc>
          <w:tcPr>
            <w:tcW w:w="6135" w:type="dxa"/>
            <w:gridSpan w:val="3"/>
            <w:vAlign w:val="center"/>
          </w:tcPr>
          <w:p>
            <w:pPr>
              <w:spacing w:line="360" w:lineRule="auto"/>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海阳市经济技术开发区建筑公司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水土保持监理单位</w:t>
            </w:r>
          </w:p>
        </w:tc>
        <w:tc>
          <w:tcPr>
            <w:tcW w:w="6135" w:type="dxa"/>
            <w:gridSpan w:val="3"/>
            <w:vAlign w:val="center"/>
          </w:tcPr>
          <w:p>
            <w:pPr>
              <w:spacing w:line="360" w:lineRule="auto"/>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海阳市银河建设监理有限责任公司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780" w:type="dxa"/>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水土保持设施验收</w:t>
            </w:r>
          </w:p>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报告编制单位</w:t>
            </w:r>
          </w:p>
        </w:tc>
        <w:tc>
          <w:tcPr>
            <w:tcW w:w="6135" w:type="dxa"/>
            <w:gridSpan w:val="3"/>
            <w:vAlign w:val="center"/>
          </w:tcPr>
          <w:p>
            <w:pPr>
              <w:ind w:left="120" w:leftChars="57"/>
              <w:jc w:val="center"/>
              <w:rPr>
                <w:rFonts w:ascii="宋体" w:hAnsi="宋体" w:eastAsia="宋体" w:cs="宋体"/>
                <w:color w:val="000000"/>
                <w:sz w:val="24"/>
                <w:szCs w:val="24"/>
              </w:rPr>
            </w:pPr>
            <w:r>
              <w:rPr>
                <w:rFonts w:hint="eastAsia" w:ascii="宋体" w:hAnsi="宋体" w:eastAsia="宋体" w:cs="宋体"/>
                <w:color w:val="000000"/>
                <w:sz w:val="24"/>
                <w:szCs w:val="24"/>
              </w:rPr>
              <w:t>烟台市翔海工程项目管理有限公司</w:t>
            </w:r>
          </w:p>
        </w:tc>
      </w:tr>
    </w:tbl>
    <w:p>
      <w:pPr>
        <w:rPr>
          <w:rFonts w:ascii="Times New Roman" w:hAnsi="Times New Roman" w:eastAsia="黑体" w:cs="Times New Roman"/>
          <w:sz w:val="30"/>
          <w:szCs w:val="30"/>
        </w:rPr>
      </w:pPr>
      <w:r>
        <w:rPr>
          <w:rFonts w:ascii="Times New Roman" w:hAnsi="Times New Roman" w:eastAsia="黑体" w:cs="Times New Roman"/>
          <w:sz w:val="30"/>
          <w:szCs w:val="30"/>
        </w:rPr>
        <w:br w:type="page"/>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二、验收意见</w:t>
      </w:r>
    </w:p>
    <w:tbl>
      <w:tblPr>
        <w:tblStyle w:val="6"/>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spacing w:line="580" w:lineRule="exact"/>
              <w:ind w:firstLine="600" w:firstLineChars="200"/>
              <w:rPr>
                <w:rFonts w:ascii="Times New Roman" w:hAnsi="Times New Roman" w:eastAsia="仿宋_GB2312"/>
                <w:bCs/>
                <w:sz w:val="30"/>
                <w:szCs w:val="30"/>
              </w:rPr>
            </w:pPr>
            <w:r>
              <w:rPr>
                <w:rFonts w:hint="eastAsia" w:ascii="Times New Roman" w:hAnsi="Times New Roman" w:eastAsia="仿宋_GB2312"/>
                <w:bCs/>
                <w:sz w:val="30"/>
                <w:szCs w:val="30"/>
              </w:rPr>
              <w:t>根据《水利部关于加强事中事后监管规范生产建设项目水土保持设施自主</w:t>
            </w:r>
            <w:r>
              <w:rPr>
                <w:rFonts w:hint="eastAsia" w:ascii="仿宋_GB2312" w:hAnsi="仿宋_GB2312" w:eastAsia="仿宋_GB2312" w:cs="仿宋_GB2312"/>
                <w:bCs/>
                <w:sz w:val="30"/>
                <w:szCs w:val="30"/>
              </w:rPr>
              <w:t>验收的通知》（水保〔2017〕365号），海阳新瑞置业有限公司于2020年</w:t>
            </w:r>
            <w:r>
              <w:rPr>
                <w:rFonts w:hint="eastAsia" w:ascii="仿宋_GB2312" w:hAnsi="仿宋_GB2312" w:eastAsia="仿宋_GB2312" w:cs="仿宋_GB2312"/>
                <w:bCs/>
                <w:color w:val="000000" w:themeColor="text1"/>
                <w:sz w:val="30"/>
                <w:szCs w:val="30"/>
                <w14:textFill>
                  <w14:solidFill>
                    <w14:schemeClr w14:val="tx1"/>
                  </w14:solidFill>
                </w14:textFill>
              </w:rPr>
              <w:t>12月29日</w:t>
            </w:r>
            <w:r>
              <w:rPr>
                <w:rFonts w:hint="eastAsia" w:ascii="仿宋_GB2312" w:hAnsi="仿宋_GB2312" w:eastAsia="仿宋_GB2312" w:cs="仿宋_GB2312"/>
                <w:bCs/>
                <w:sz w:val="30"/>
                <w:szCs w:val="30"/>
              </w:rPr>
              <w:t>在海阳市方圆街道主持召开了</w:t>
            </w:r>
            <w:r>
              <w:rPr>
                <w:rFonts w:hint="eastAsia" w:ascii="Times New Roman" w:hAnsi="Times New Roman" w:eastAsia="仿宋_GB2312"/>
                <w:bCs/>
                <w:sz w:val="30"/>
                <w:szCs w:val="30"/>
              </w:rPr>
              <w:t>东方花园1#、2#、综合楼建设项目水土保持设施验收会。参加会议的有水土保持方案编制单位、设计单位、施工单位、监测单位、监理单位、水保</w:t>
            </w:r>
            <w:r>
              <w:rPr>
                <w:rFonts w:ascii="Times New Roman" w:hAnsi="Times New Roman" w:eastAsia="仿宋_GB2312"/>
                <w:bCs/>
                <w:sz w:val="30"/>
                <w:szCs w:val="30"/>
              </w:rPr>
              <w:t>设施验收</w:t>
            </w:r>
            <w:r>
              <w:rPr>
                <w:rFonts w:hint="eastAsia" w:ascii="Times New Roman" w:hAnsi="Times New Roman" w:eastAsia="仿宋_GB2312"/>
                <w:bCs/>
                <w:sz w:val="30"/>
                <w:szCs w:val="30"/>
              </w:rPr>
              <w:t>报告</w:t>
            </w:r>
            <w:r>
              <w:rPr>
                <w:rFonts w:ascii="Times New Roman" w:hAnsi="Times New Roman" w:eastAsia="仿宋_GB2312"/>
                <w:bCs/>
                <w:sz w:val="30"/>
                <w:szCs w:val="30"/>
              </w:rPr>
              <w:t>编制单位</w:t>
            </w:r>
            <w:r>
              <w:rPr>
                <w:rFonts w:hint="eastAsia" w:ascii="Times New Roman" w:hAnsi="Times New Roman" w:eastAsia="仿宋_GB2312"/>
                <w:bCs/>
                <w:sz w:val="30"/>
                <w:szCs w:val="30"/>
              </w:rPr>
              <w:t>等单位的代表和特邀专家，会议成立了验收组（名单附后）。</w:t>
            </w:r>
          </w:p>
          <w:p>
            <w:pPr>
              <w:spacing w:line="58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sz w:val="30"/>
                <w:szCs w:val="30"/>
              </w:rPr>
              <w:t>验收组部分代表查看了工程现场，查阅了技术资料，听取了</w:t>
            </w:r>
            <w:r>
              <w:rPr>
                <w:rFonts w:hint="eastAsia" w:ascii="Times New Roman" w:hAnsi="Times New Roman" w:eastAsia="仿宋_GB2312"/>
                <w:bCs/>
                <w:sz w:val="30"/>
                <w:szCs w:val="30"/>
              </w:rPr>
              <w:t>水土保持方案编制单位、设计单位、监测单位、施工单位、监理单位、</w:t>
            </w:r>
            <w:r>
              <w:rPr>
                <w:rFonts w:ascii="Times New Roman" w:hAnsi="Times New Roman" w:eastAsia="仿宋_GB2312"/>
                <w:bCs/>
                <w:sz w:val="30"/>
                <w:szCs w:val="30"/>
              </w:rPr>
              <w:t>设施验收</w:t>
            </w:r>
            <w:r>
              <w:rPr>
                <w:rFonts w:hint="eastAsia" w:ascii="Times New Roman" w:hAnsi="Times New Roman" w:eastAsia="仿宋_GB2312"/>
                <w:bCs/>
                <w:sz w:val="30"/>
                <w:szCs w:val="30"/>
              </w:rPr>
              <w:t>报告</w:t>
            </w:r>
            <w:r>
              <w:rPr>
                <w:rFonts w:ascii="Times New Roman" w:hAnsi="Times New Roman" w:eastAsia="仿宋_GB2312"/>
                <w:bCs/>
                <w:sz w:val="30"/>
                <w:szCs w:val="30"/>
              </w:rPr>
              <w:t>编制单位</w:t>
            </w:r>
            <w:r>
              <w:rPr>
                <w:rFonts w:hint="eastAsia" w:ascii="Times New Roman" w:hAnsi="Times New Roman" w:eastAsia="仿宋_GB2312"/>
                <w:sz w:val="30"/>
                <w:szCs w:val="30"/>
              </w:rPr>
              <w:t>的汇报，经认真讨论，形成水土保持设施验收意见如下。</w:t>
            </w:r>
          </w:p>
          <w:p>
            <w:pPr>
              <w:spacing w:line="58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（一）项目概况</w:t>
            </w:r>
          </w:p>
          <w:p>
            <w:pPr>
              <w:spacing w:line="580" w:lineRule="exact"/>
              <w:ind w:firstLine="600" w:firstLineChars="200"/>
              <w:rPr>
                <w:rFonts w:ascii="仿宋_GB2312" w:hAnsi="仿宋_GB2312" w:eastAsia="仿宋_GB2312" w:cs="仿宋_GB2312"/>
                <w:sz w:val="30"/>
                <w:szCs w:val="30"/>
              </w:rPr>
            </w:pPr>
            <w:r>
              <w:rPr>
                <w:rFonts w:hint="eastAsia" w:ascii="Times New Roman" w:hAnsi="Times New Roman" w:eastAsia="仿宋_GB2312"/>
                <w:bCs/>
                <w:sz w:val="30"/>
                <w:szCs w:val="30"/>
              </w:rPr>
              <w:t>东方花园1#、2#、综合楼建设项目</w:t>
            </w:r>
            <w:r>
              <w:rPr>
                <w:rFonts w:hint="eastAsia" w:ascii="仿宋_GB2312" w:hAnsi="仿宋_GB2312" w:eastAsia="仿宋_GB2312" w:cs="仿宋_GB2312"/>
                <w:sz w:val="30"/>
                <w:szCs w:val="30"/>
              </w:rPr>
              <w:t>位于</w:t>
            </w:r>
            <w:r>
              <w:rPr>
                <w:rFonts w:hint="eastAsia" w:ascii="Times New Roman" w:hAnsi="Times New Roman" w:eastAsia="仿宋_GB2312"/>
                <w:bCs/>
                <w:sz w:val="30"/>
                <w:szCs w:val="30"/>
              </w:rPr>
              <w:t>海阳市方圆街道东凤大道西、海盛路南，</w:t>
            </w:r>
            <w:r>
              <w:rPr>
                <w:rFonts w:hint="eastAsia" w:ascii="仿宋_GB2312" w:hAnsi="仿宋_GB2312" w:eastAsia="仿宋_GB2312" w:cs="仿宋_GB2312"/>
                <w:sz w:val="30"/>
                <w:szCs w:val="30"/>
              </w:rPr>
              <w:t>由</w:t>
            </w:r>
            <w:r>
              <w:rPr>
                <w:rFonts w:hint="eastAsia" w:ascii="仿宋_GB2312" w:hAnsi="仿宋_GB2312" w:eastAsia="仿宋_GB2312" w:cs="仿宋_GB2312"/>
                <w:bCs/>
                <w:sz w:val="30"/>
                <w:szCs w:val="30"/>
              </w:rPr>
              <w:t>海阳新瑞置业有限公司</w:t>
            </w:r>
            <w:r>
              <w:rPr>
                <w:rFonts w:hint="eastAsia" w:ascii="仿宋_GB2312" w:hAnsi="仿宋_GB2312" w:eastAsia="仿宋_GB2312" w:cs="仿宋_GB2312"/>
                <w:sz w:val="30"/>
                <w:szCs w:val="30"/>
              </w:rPr>
              <w:t>投资建设。主要</w:t>
            </w:r>
            <w:r>
              <w:rPr>
                <w:rFonts w:hint="eastAsia" w:ascii="仿宋_GB2312" w:hAnsi="仿宋_GB2312" w:eastAsia="仿宋_GB2312" w:cs="仿宋_GB2312"/>
                <w:bCs/>
                <w:sz w:val="30"/>
                <w:szCs w:val="30"/>
              </w:rPr>
              <w:t>建设3栋楼，1#楼为9层，2#楼为7层，综合楼为3层，道路、绿化及配套设施</w:t>
            </w:r>
            <w:r>
              <w:rPr>
                <w:rFonts w:hint="eastAsia" w:ascii="仿宋_GB2312" w:hAnsi="仿宋_GB2312" w:eastAsia="仿宋_GB2312" w:cs="仿宋_GB2312"/>
                <w:sz w:val="30"/>
                <w:szCs w:val="30"/>
              </w:rPr>
              <w:t>。工程总占地面积0.84hm</w:t>
            </w:r>
            <w:r>
              <w:rPr>
                <w:rFonts w:hint="eastAsia" w:ascii="仿宋_GB2312" w:hAnsi="仿宋_GB2312" w:eastAsia="仿宋_GB2312" w:cs="仿宋_GB2312"/>
                <w:sz w:val="30"/>
                <w:szCs w:val="30"/>
                <w:vertAlign w:val="superscript"/>
              </w:rPr>
              <w:t>2</w:t>
            </w:r>
            <w:r>
              <w:rPr>
                <w:rFonts w:hint="eastAsia" w:ascii="仿宋_GB2312" w:hAnsi="仿宋_GB2312" w:eastAsia="仿宋_GB2312" w:cs="仿宋_GB2312"/>
                <w:sz w:val="30"/>
                <w:szCs w:val="30"/>
              </w:rPr>
              <w:t>，占地性质为永久占地，用地类型为商住用地。项目土石方总挖方0.85万m</w:t>
            </w:r>
            <w:r>
              <w:rPr>
                <w:rFonts w:hint="eastAsia" w:ascii="仿宋_GB2312" w:hAnsi="仿宋_GB2312" w:eastAsia="仿宋_GB2312" w:cs="仿宋_GB2312"/>
                <w:sz w:val="30"/>
                <w:szCs w:val="30"/>
                <w:vertAlign w:val="superscript"/>
              </w:rPr>
              <w:t>3</w:t>
            </w:r>
            <w:r>
              <w:rPr>
                <w:rFonts w:hint="eastAsia" w:ascii="仿宋_GB2312" w:hAnsi="仿宋_GB2312" w:eastAsia="仿宋_GB2312" w:cs="仿宋_GB2312"/>
                <w:sz w:val="30"/>
                <w:szCs w:val="30"/>
              </w:rPr>
              <w:t>，总填方量0.85万m</w:t>
            </w:r>
            <w:r>
              <w:rPr>
                <w:rFonts w:ascii="Times New Roman" w:hAnsi="Times New Roman" w:eastAsia="仿宋_GB2312" w:cs="Times New Roman"/>
                <w:sz w:val="30"/>
                <w:szCs w:val="30"/>
              </w:rPr>
              <w:t>³</w:t>
            </w:r>
            <w:r>
              <w:rPr>
                <w:rFonts w:hint="eastAsia" w:ascii="仿宋_GB2312" w:hAnsi="仿宋_GB2312" w:eastAsia="仿宋_GB2312" w:cs="仿宋_GB2312"/>
                <w:sz w:val="30"/>
                <w:szCs w:val="30"/>
              </w:rPr>
              <w:t>，无弃方，无借方。项目总投资2000万元，其中土建投资980万元。项目已于2018年5月开工，2019年4月完工。</w:t>
            </w:r>
          </w:p>
          <w:p>
            <w:pPr>
              <w:spacing w:line="5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（二）水土保持方案批复情况（含变更）</w:t>
            </w:r>
          </w:p>
          <w:p>
            <w:pPr>
              <w:spacing w:line="58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20</w:t>
            </w:r>
            <w:r>
              <w:rPr>
                <w:rFonts w:hint="eastAsia" w:ascii="仿宋_GB2312" w:hAnsi="仿宋_GB2312" w:eastAsia="仿宋_GB2312" w:cs="仿宋_GB2312"/>
                <w:sz w:val="30"/>
                <w:szCs w:val="30"/>
              </w:rPr>
              <w:t>20</w:t>
            </w:r>
            <w:r>
              <w:rPr>
                <w:rFonts w:ascii="仿宋_GB2312" w:hAnsi="仿宋_GB2312" w:eastAsia="仿宋_GB2312" w:cs="仿宋_GB2312"/>
                <w:sz w:val="30"/>
                <w:szCs w:val="30"/>
              </w:rPr>
              <w:t>年</w:t>
            </w:r>
            <w:r>
              <w:rPr>
                <w:rFonts w:hint="eastAsia" w:ascii="仿宋_GB2312" w:hAnsi="仿宋_GB2312" w:eastAsia="仿宋_GB2312" w:cs="仿宋_GB2312"/>
                <w:sz w:val="30"/>
                <w:szCs w:val="30"/>
              </w:rPr>
              <w:t>12</w:t>
            </w:r>
            <w:r>
              <w:rPr>
                <w:rFonts w:ascii="仿宋_GB2312" w:hAnsi="仿宋_GB2312" w:eastAsia="仿宋_GB2312" w:cs="仿宋_GB2312"/>
                <w:sz w:val="30"/>
                <w:szCs w:val="30"/>
              </w:rPr>
              <w:t>月</w:t>
            </w:r>
            <w:r>
              <w:rPr>
                <w:rFonts w:hint="eastAsia" w:ascii="仿宋_GB2312" w:hAnsi="仿宋_GB2312" w:eastAsia="仿宋_GB2312" w:cs="仿宋_GB2312"/>
                <w:sz w:val="30"/>
                <w:szCs w:val="30"/>
              </w:rPr>
              <w:t>23</w:t>
            </w:r>
            <w:r>
              <w:rPr>
                <w:rFonts w:ascii="仿宋_GB2312" w:hAnsi="仿宋_GB2312" w:eastAsia="仿宋_GB2312" w:cs="仿宋_GB2312"/>
                <w:sz w:val="30"/>
                <w:szCs w:val="30"/>
              </w:rPr>
              <w:t>日，</w:t>
            </w:r>
            <w:r>
              <w:rPr>
                <w:rFonts w:hint="eastAsia" w:ascii="仿宋_GB2312" w:hAnsi="仿宋_GB2312" w:eastAsia="仿宋_GB2312" w:cs="仿宋_GB2312"/>
                <w:sz w:val="30"/>
                <w:szCs w:val="30"/>
              </w:rPr>
              <w:t>海阳市行政审批服务局</w:t>
            </w:r>
            <w:r>
              <w:rPr>
                <w:rFonts w:ascii="仿宋_GB2312" w:hAnsi="仿宋_GB2312" w:eastAsia="仿宋_GB2312" w:cs="仿宋_GB2312"/>
                <w:sz w:val="30"/>
                <w:szCs w:val="30"/>
              </w:rPr>
              <w:t>以</w:t>
            </w:r>
            <w:r>
              <w:rPr>
                <w:rFonts w:hint="eastAsia" w:ascii="仿宋_GB2312" w:hAnsi="仿宋_GB2312" w:eastAsia="仿宋_GB2312" w:cs="仿宋_GB2312"/>
                <w:sz w:val="30"/>
                <w:szCs w:val="30"/>
              </w:rPr>
              <w:t>海审批水保函字〔2020〕63号，对水土保持方案报告表进行批复。批复工程水土流失防治责任范围0.84hm</w:t>
            </w:r>
            <w:r>
              <w:rPr>
                <w:rFonts w:hint="eastAsia" w:ascii="仿宋_GB2312" w:hAnsi="仿宋_GB2312" w:eastAsia="仿宋_GB2312" w:cs="仿宋_GB2312"/>
                <w:sz w:val="30"/>
                <w:szCs w:val="30"/>
                <w:vertAlign w:val="superscript"/>
              </w:rPr>
              <w:t>2</w:t>
            </w:r>
            <w:r>
              <w:rPr>
                <w:rFonts w:hint="eastAsia" w:ascii="仿宋_GB2312" w:hAnsi="仿宋_GB2312" w:eastAsia="仿宋_GB2312" w:cs="仿宋_GB2312"/>
                <w:sz w:val="30"/>
                <w:szCs w:val="30"/>
              </w:rPr>
              <w:t>。</w:t>
            </w:r>
          </w:p>
          <w:p>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（三）水土保持初步设计或施工图设计情况</w:t>
            </w:r>
          </w:p>
          <w:p>
            <w:pPr>
              <w:spacing w:line="580" w:lineRule="exact"/>
              <w:ind w:firstLine="600" w:firstLineChars="200"/>
              <w:rPr>
                <w:rFonts w:ascii="Times New Roman" w:hAnsi="Times New Roman" w:eastAsia="仿宋_GB2312"/>
                <w:color w:val="auto"/>
                <w:sz w:val="30"/>
                <w:szCs w:val="30"/>
              </w:rPr>
            </w:pPr>
            <w:r>
              <w:rPr>
                <w:rFonts w:hint="eastAsia" w:ascii="Times New Roman" w:hAnsi="Times New Roman" w:eastAsia="仿宋_GB2312"/>
                <w:sz w:val="30"/>
                <w:szCs w:val="30"/>
              </w:rPr>
              <w:t>本项目主体工程初步设计及施工图设计由山东三元建筑设计有限公司完成，</w:t>
            </w:r>
            <w:r>
              <w:rPr>
                <w:rFonts w:hint="eastAsia" w:ascii="Times New Roman" w:hAnsi="Times New Roman" w:eastAsia="仿宋_GB2312"/>
                <w:color w:val="auto"/>
                <w:sz w:val="30"/>
                <w:szCs w:val="30"/>
              </w:rPr>
              <w:t>取得</w:t>
            </w:r>
            <w:r>
              <w:rPr>
                <w:rFonts w:hint="eastAsia" w:ascii="Times New Roman" w:hAnsi="Times New Roman" w:eastAsia="仿宋_GB2312"/>
                <w:color w:val="auto"/>
                <w:sz w:val="30"/>
                <w:szCs w:val="30"/>
                <w:lang w:val="en-US" w:eastAsia="zh-CN"/>
              </w:rPr>
              <w:t>审查合格书</w:t>
            </w:r>
            <w:r>
              <w:rPr>
                <w:rFonts w:hint="eastAsia" w:ascii="Times New Roman" w:hAnsi="Times New Roman" w:eastAsia="仿宋_GB2312"/>
                <w:color w:val="auto"/>
                <w:sz w:val="30"/>
                <w:szCs w:val="30"/>
              </w:rPr>
              <w:t>（编号：（2018）第</w:t>
            </w:r>
            <w:r>
              <w:rPr>
                <w:rFonts w:hint="eastAsia" w:ascii="Times New Roman" w:hAnsi="Times New Roman" w:eastAsia="仿宋_GB2312"/>
                <w:color w:val="auto"/>
                <w:sz w:val="30"/>
                <w:szCs w:val="30"/>
                <w:lang w:val="en-US" w:eastAsia="zh-CN"/>
              </w:rPr>
              <w:t>215、273</w:t>
            </w:r>
            <w:r>
              <w:rPr>
                <w:rFonts w:hint="eastAsia" w:ascii="Times New Roman" w:hAnsi="Times New Roman" w:eastAsia="仿宋_GB2312"/>
                <w:color w:val="auto"/>
                <w:sz w:val="30"/>
                <w:szCs w:val="30"/>
              </w:rPr>
              <w:t>号）。上述设计中纳入了水土保持措施设计内容</w:t>
            </w:r>
            <w:r>
              <w:rPr>
                <w:rFonts w:ascii="Times New Roman" w:hAnsi="Times New Roman" w:eastAsia="仿宋_GB2312"/>
                <w:color w:val="auto"/>
                <w:sz w:val="30"/>
                <w:szCs w:val="30"/>
              </w:rPr>
              <w:t>。</w:t>
            </w:r>
            <w:bookmarkStart w:id="0" w:name="_GoBack"/>
            <w:bookmarkEnd w:id="0"/>
          </w:p>
          <w:p>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bCs/>
                <w:kern w:val="0"/>
                <w:sz w:val="30"/>
                <w:szCs w:val="30"/>
              </w:rPr>
              <w:t>（四）</w:t>
            </w:r>
            <w:r>
              <w:rPr>
                <w:rFonts w:ascii="Times New Roman" w:hAnsi="Times New Roman" w:eastAsia="仿宋_GB2312" w:cs="Times New Roman"/>
                <w:sz w:val="30"/>
                <w:szCs w:val="30"/>
              </w:rPr>
              <w:t>水土保持监测情况</w:t>
            </w:r>
          </w:p>
          <w:p>
            <w:pPr>
              <w:spacing w:line="58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根据建设单位自行监测结果，工程采取了适宜的水土保持措施，防治效果明显，较好的控制和减少了施工过程中的水土流失，水土流失防治指标达到了水土保持方案设计要求，其中</w:t>
            </w:r>
            <w:r>
              <w:rPr>
                <w:rFonts w:ascii="仿宋_GB2312" w:hAnsi="仿宋_GB2312" w:eastAsia="仿宋_GB2312" w:cs="仿宋_GB2312"/>
                <w:color w:val="auto"/>
                <w:sz w:val="30"/>
                <w:szCs w:val="30"/>
              </w:rPr>
              <w:t>水土流失治理度</w:t>
            </w:r>
            <w:r>
              <w:rPr>
                <w:rFonts w:hint="eastAsia" w:ascii="仿宋_GB2312" w:hAnsi="仿宋_GB2312" w:eastAsia="仿宋_GB2312" w:cs="仿宋_GB2312"/>
                <w:color w:val="auto"/>
                <w:sz w:val="30"/>
                <w:szCs w:val="30"/>
              </w:rPr>
              <w:t>96</w:t>
            </w:r>
            <w:r>
              <w:rPr>
                <w:rFonts w:ascii="仿宋_GB2312" w:hAnsi="仿宋_GB2312" w:eastAsia="仿宋_GB2312" w:cs="仿宋_GB2312"/>
                <w:color w:val="auto"/>
                <w:sz w:val="30"/>
                <w:szCs w:val="30"/>
              </w:rPr>
              <w:t>%、土壤流失控制比1.0、渣土防护率98%、表土保护率9</w:t>
            </w:r>
            <w:r>
              <w:rPr>
                <w:rFonts w:hint="eastAsia" w:ascii="仿宋_GB2312" w:hAnsi="仿宋_GB2312" w:eastAsia="仿宋_GB2312" w:cs="仿宋_GB2312"/>
                <w:color w:val="auto"/>
                <w:sz w:val="30"/>
                <w:szCs w:val="30"/>
              </w:rPr>
              <w:t>6</w:t>
            </w:r>
            <w:r>
              <w:rPr>
                <w:rFonts w:ascii="仿宋_GB2312" w:hAnsi="仿宋_GB2312" w:eastAsia="仿宋_GB2312" w:cs="仿宋_GB2312"/>
                <w:color w:val="auto"/>
                <w:sz w:val="30"/>
                <w:szCs w:val="30"/>
              </w:rPr>
              <w:t>%、林草植被恢复率98%、林草覆盖率</w:t>
            </w:r>
            <w:r>
              <w:rPr>
                <w:rFonts w:hint="eastAsia" w:ascii="仿宋_GB2312" w:hAnsi="仿宋_GB2312" w:eastAsia="仿宋_GB2312" w:cs="仿宋_GB2312"/>
                <w:color w:val="auto"/>
                <w:sz w:val="30"/>
                <w:szCs w:val="30"/>
              </w:rPr>
              <w:t>31.9</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。各项指标监测值均达到了方案设计防治目标值，各项水土保持设施运行正常，较好的发挥了水土保持功能。</w:t>
            </w:r>
          </w:p>
          <w:p>
            <w:pPr>
              <w:spacing w:line="580" w:lineRule="exact"/>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（五）验收报告编制情况和主要结论</w:t>
            </w:r>
          </w:p>
          <w:p>
            <w:pPr>
              <w:spacing w:line="580" w:lineRule="exact"/>
              <w:ind w:firstLine="600" w:firstLineChars="200"/>
              <w:rPr>
                <w:rFonts w:ascii="Times New Roman" w:hAnsi="Times New Roman" w:eastAsia="仿宋_GB2312"/>
                <w:color w:val="auto"/>
                <w:sz w:val="30"/>
                <w:szCs w:val="30"/>
              </w:rPr>
            </w:pPr>
            <w:r>
              <w:rPr>
                <w:rFonts w:hint="eastAsia" w:ascii="仿宋_GB2312" w:hAnsi="仿宋_GB2312" w:eastAsia="仿宋_GB2312" w:cs="仿宋_GB2312"/>
                <w:color w:val="auto"/>
                <w:sz w:val="30"/>
                <w:szCs w:val="30"/>
              </w:rPr>
              <w:t>2020年12月，受建设单位委托，烟台市翔海工程项目管理有限公司编制完成了《东方花园1#、2#、综合楼建设项目水土保持设施验</w:t>
            </w:r>
            <w:r>
              <w:rPr>
                <w:rFonts w:hint="eastAsia" w:ascii="Times New Roman" w:hAnsi="Times New Roman" w:eastAsia="仿宋_GB2312"/>
                <w:color w:val="auto"/>
                <w:sz w:val="30"/>
                <w:szCs w:val="30"/>
              </w:rPr>
              <w:t>收报告》，主要结论为：建设单位编报了水土保持方案，开展了后续设计和水土保持监测、监理工作，依法履行了水土保持法定程序和缴纳了水土保持补偿费；按照水土保持方案基本落实了水土保持措施，水土保持工程质量总体合格，水土保持设施运行基本正常；水土保持后续管理维护责任落实；项目水土保持设施具备验收条件。</w:t>
            </w:r>
          </w:p>
          <w:p>
            <w:pPr>
              <w:spacing w:line="580" w:lineRule="exact"/>
              <w:ind w:firstLine="600" w:firstLineChars="200"/>
              <w:rPr>
                <w:rFonts w:ascii="Times New Roman" w:hAnsi="Times New Roman" w:eastAsia="黑体" w:cs="Times New Roman"/>
                <w:color w:val="auto"/>
                <w:sz w:val="30"/>
                <w:szCs w:val="30"/>
              </w:rPr>
            </w:pPr>
            <w:r>
              <w:rPr>
                <w:rFonts w:ascii="Times New Roman" w:hAnsi="Times New Roman" w:eastAsia="仿宋_GB2312" w:cs="Times New Roman"/>
                <w:color w:val="auto"/>
                <w:sz w:val="30"/>
                <w:szCs w:val="30"/>
              </w:rPr>
              <w:t>（六）验收结论</w:t>
            </w:r>
          </w:p>
          <w:p>
            <w:pPr>
              <w:spacing w:line="580" w:lineRule="exact"/>
              <w:ind w:firstLine="600" w:firstLineChars="200"/>
              <w:rPr>
                <w:rFonts w:ascii="Times New Roman" w:hAnsi="Times New Roman" w:eastAsia="仿宋_GB2312" w:cs="Times New Roman"/>
                <w:color w:val="auto"/>
                <w:kern w:val="0"/>
                <w:sz w:val="30"/>
                <w:szCs w:val="30"/>
              </w:rPr>
            </w:pPr>
            <w:r>
              <w:rPr>
                <w:rFonts w:hint="eastAsia" w:ascii="Times New Roman" w:hAnsi="Times New Roman" w:eastAsia="仿宋_GB2312"/>
                <w:color w:val="auto"/>
                <w:kern w:val="0"/>
                <w:sz w:val="30"/>
                <w:szCs w:val="30"/>
              </w:rPr>
              <w:t>该项目实施过程中落实了水土保持方案及批复文件要求，完成了水土流失预防和治理任务，水土保持设施质量总体合格，水土流失防治指标达到了水土保持方案确定的目标值，符合水土保持设施验收的条件，同意该项目水土保持设施通过验收。</w:t>
            </w:r>
          </w:p>
          <w:p>
            <w:pPr>
              <w:spacing w:line="580" w:lineRule="exact"/>
              <w:ind w:firstLine="600" w:firstLineChars="200"/>
              <w:rPr>
                <w:rFonts w:ascii="Times New Roman" w:hAnsi="Times New Roman" w:eastAsia="仿宋_GB2312" w:cs="Times New Roman"/>
                <w:color w:val="auto"/>
                <w:kern w:val="0"/>
                <w:sz w:val="30"/>
                <w:szCs w:val="30"/>
              </w:rPr>
            </w:pPr>
            <w:r>
              <w:rPr>
                <w:rFonts w:ascii="Times New Roman" w:hAnsi="Times New Roman" w:eastAsia="仿宋_GB2312" w:cs="Times New Roman"/>
                <w:color w:val="auto"/>
                <w:kern w:val="0"/>
                <w:sz w:val="30"/>
                <w:szCs w:val="30"/>
              </w:rPr>
              <w:t>（七）后续管护要求</w:t>
            </w:r>
          </w:p>
          <w:p>
            <w:pPr>
              <w:spacing w:line="580" w:lineRule="exact"/>
              <w:ind w:firstLine="600" w:firstLineChars="200"/>
              <w:rPr>
                <w:rFonts w:ascii="Times New Roman" w:hAnsi="Times New Roman" w:eastAsia="仿宋_GB2312"/>
                <w:kern w:val="0"/>
                <w:sz w:val="30"/>
                <w:szCs w:val="30"/>
              </w:rPr>
            </w:pPr>
            <w:r>
              <w:rPr>
                <w:rFonts w:hint="eastAsia" w:ascii="Times New Roman" w:hAnsi="Times New Roman" w:eastAsia="仿宋_GB2312"/>
                <w:color w:val="auto"/>
                <w:kern w:val="0"/>
                <w:sz w:val="30"/>
                <w:szCs w:val="30"/>
              </w:rPr>
              <w:t>建设单位应进一步加强水土保</w:t>
            </w:r>
            <w:r>
              <w:rPr>
                <w:rFonts w:hint="eastAsia" w:ascii="Times New Roman" w:hAnsi="Times New Roman" w:eastAsia="仿宋_GB2312"/>
                <w:kern w:val="0"/>
                <w:sz w:val="30"/>
                <w:szCs w:val="30"/>
              </w:rPr>
              <w:t>持设施管护，确保其正常运行和发挥效益。</w:t>
            </w:r>
          </w:p>
        </w:tc>
      </w:tr>
    </w:tbl>
    <w:p>
      <w:pPr>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三、验收组成员签字表</w:t>
      </w:r>
    </w:p>
    <w:tbl>
      <w:tblPr>
        <w:tblStyle w:val="6"/>
        <w:tblW w:w="10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075"/>
        <w:gridCol w:w="1224"/>
        <w:gridCol w:w="4039"/>
        <w:gridCol w:w="1562"/>
        <w:gridCol w:w="1584"/>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sz w:val="28"/>
                <w:szCs w:val="28"/>
              </w:rPr>
            </w:pPr>
            <w:r>
              <w:rPr>
                <w:rFonts w:hint="eastAsia" w:ascii="黑体" w:hAnsi="黑体" w:eastAsia="黑体" w:cs="黑体"/>
                <w:bCs/>
                <w:sz w:val="28"/>
                <w:szCs w:val="28"/>
              </w:rPr>
              <w:t>分 工</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sz w:val="28"/>
                <w:szCs w:val="28"/>
              </w:rPr>
            </w:pPr>
            <w:r>
              <w:rPr>
                <w:rFonts w:hint="eastAsia" w:ascii="黑体" w:hAnsi="黑体" w:eastAsia="黑体" w:cs="黑体"/>
                <w:bCs/>
                <w:sz w:val="28"/>
                <w:szCs w:val="28"/>
              </w:rPr>
              <w:t>姓名</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spacing w:val="-20"/>
                <w:sz w:val="28"/>
                <w:szCs w:val="28"/>
              </w:rPr>
            </w:pPr>
            <w:r>
              <w:rPr>
                <w:rFonts w:hint="eastAsia" w:ascii="黑体" w:hAnsi="黑体" w:eastAsia="黑体" w:cs="黑体"/>
                <w:bCs/>
                <w:sz w:val="28"/>
                <w:szCs w:val="28"/>
              </w:rPr>
              <w:t>单   位</w:t>
            </w:r>
          </w:p>
        </w:tc>
        <w:tc>
          <w:tcPr>
            <w:tcW w:w="15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sz w:val="28"/>
                <w:szCs w:val="28"/>
              </w:rPr>
            </w:pPr>
            <w:r>
              <w:rPr>
                <w:rFonts w:hint="eastAsia" w:ascii="黑体" w:hAnsi="黑体" w:eastAsia="黑体" w:cs="黑体"/>
                <w:bCs/>
                <w:sz w:val="28"/>
                <w:szCs w:val="28"/>
              </w:rPr>
              <w:t>职务/职称</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sz w:val="28"/>
                <w:szCs w:val="28"/>
              </w:rPr>
            </w:pPr>
            <w:r>
              <w:rPr>
                <w:rFonts w:hint="eastAsia" w:ascii="黑体" w:hAnsi="黑体" w:eastAsia="黑体" w:cs="黑体"/>
                <w:bCs/>
                <w:sz w:val="28"/>
                <w:szCs w:val="28"/>
              </w:rPr>
              <w:t>签 字</w:t>
            </w:r>
          </w:p>
        </w:tc>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sz w:val="28"/>
                <w:szCs w:val="28"/>
              </w:rPr>
            </w:pPr>
            <w:r>
              <w:rPr>
                <w:rFonts w:hint="eastAsia" w:ascii="黑体" w:hAnsi="黑体" w:eastAsia="黑体" w:cs="黑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118"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组  长</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王瑞涛</w:t>
            </w:r>
          </w:p>
        </w:tc>
        <w:tc>
          <w:tcPr>
            <w:tcW w:w="4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海阳新瑞置业有限公司</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经理</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248" w:hRule="atLeast"/>
          <w:jc w:val="center"/>
        </w:trPr>
        <w:tc>
          <w:tcPr>
            <w:tcW w:w="1075" w:type="dxa"/>
            <w:vMerge w:val="restart"/>
            <w:tcBorders>
              <w:top w:val="single" w:color="auto" w:sz="4" w:space="0"/>
              <w:left w:val="single" w:color="auto" w:sz="4" w:space="0"/>
              <w:right w:val="single" w:color="auto" w:sz="4" w:space="0"/>
            </w:tcBorders>
            <w:vAlign w:val="center"/>
          </w:tcPr>
          <w:p>
            <w:pPr>
              <w:ind w:left="113" w:right="113"/>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成</w:t>
            </w:r>
          </w:p>
          <w:p>
            <w:pPr>
              <w:ind w:left="113" w:right="113"/>
              <w:jc w:val="center"/>
              <w:rPr>
                <w:rFonts w:ascii="仿宋_GB2312" w:hAnsi="仿宋_GB2312" w:eastAsia="仿宋_GB2312" w:cs="仿宋_GB2312"/>
                <w:b/>
                <w:bCs/>
                <w:sz w:val="24"/>
                <w:szCs w:val="24"/>
              </w:rPr>
            </w:pPr>
          </w:p>
          <w:p>
            <w:pPr>
              <w:ind w:left="113" w:right="113"/>
              <w:jc w:val="center"/>
              <w:rPr>
                <w:rFonts w:ascii="仿宋_GB2312" w:hAnsi="仿宋_GB2312" w:eastAsia="仿宋_GB2312" w:cs="仿宋_GB2312"/>
                <w:b/>
                <w:bCs/>
                <w:sz w:val="24"/>
                <w:szCs w:val="24"/>
              </w:rPr>
            </w:pPr>
          </w:p>
          <w:p>
            <w:pPr>
              <w:ind w:left="113" w:right="113"/>
              <w:jc w:val="center"/>
              <w:rPr>
                <w:rFonts w:ascii="仿宋_GB2312" w:hAnsi="仿宋_GB2312" w:eastAsia="仿宋_GB2312" w:cs="仿宋_GB2312"/>
                <w:b/>
                <w:bCs/>
                <w:sz w:val="24"/>
                <w:szCs w:val="24"/>
              </w:rPr>
            </w:pPr>
          </w:p>
          <w:p>
            <w:pPr>
              <w:ind w:left="113" w:right="113"/>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员</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亓玉娟</w:t>
            </w:r>
          </w:p>
        </w:tc>
        <w:tc>
          <w:tcPr>
            <w:tcW w:w="4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烟台市翔海工程项目管理有限公司</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工程师</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p>
        </w:tc>
        <w:tc>
          <w:tcPr>
            <w:tcW w:w="1008"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验收报告编制单位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248" w:hRule="atLeast"/>
          <w:jc w:val="center"/>
        </w:trPr>
        <w:tc>
          <w:tcPr>
            <w:tcW w:w="1075" w:type="dxa"/>
            <w:vMerge w:val="continue"/>
            <w:tcBorders>
              <w:left w:val="single" w:color="auto" w:sz="4" w:space="0"/>
              <w:right w:val="single" w:color="auto" w:sz="4" w:space="0"/>
            </w:tcBorders>
            <w:textDirection w:val="tbRlV"/>
            <w:vAlign w:val="center"/>
          </w:tcPr>
          <w:p>
            <w:pPr>
              <w:ind w:left="113" w:right="113"/>
              <w:jc w:val="center"/>
              <w:rPr>
                <w:rFonts w:ascii="仿宋_GB2312" w:hAnsi="仿宋_GB2312" w:eastAsia="仿宋_GB2312" w:cs="仿宋_GB2312"/>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李晓华</w:t>
            </w:r>
          </w:p>
        </w:tc>
        <w:tc>
          <w:tcPr>
            <w:tcW w:w="4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烟台市瑞赢工程项目管理有限公司</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工程师</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p>
        </w:tc>
        <w:tc>
          <w:tcPr>
            <w:tcW w:w="1008"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174" w:hRule="atLeast"/>
          <w:jc w:val="center"/>
        </w:trPr>
        <w:tc>
          <w:tcPr>
            <w:tcW w:w="1075" w:type="dxa"/>
            <w:vMerge w:val="continue"/>
            <w:tcBorders>
              <w:left w:val="single" w:color="auto" w:sz="4" w:space="0"/>
              <w:right w:val="single" w:color="auto" w:sz="4" w:space="0"/>
            </w:tcBorders>
            <w:textDirection w:val="tbRlV"/>
            <w:vAlign w:val="center"/>
          </w:tcPr>
          <w:p>
            <w:pPr>
              <w:jc w:val="center"/>
            </w:pP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尚世成</w:t>
            </w:r>
          </w:p>
        </w:tc>
        <w:tc>
          <w:tcPr>
            <w:tcW w:w="4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海阳市银河建设监理有限责任公司</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注册监理工程师</w:t>
            </w:r>
          </w:p>
        </w:tc>
        <w:tc>
          <w:tcPr>
            <w:tcW w:w="1584" w:type="dxa"/>
            <w:tcBorders>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p>
        </w:tc>
        <w:tc>
          <w:tcPr>
            <w:tcW w:w="1008" w:type="dxa"/>
            <w:tcBorders>
              <w:left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248" w:hRule="atLeast"/>
          <w:jc w:val="center"/>
        </w:trPr>
        <w:tc>
          <w:tcPr>
            <w:tcW w:w="1075" w:type="dxa"/>
            <w:vMerge w:val="continue"/>
            <w:tcBorders>
              <w:left w:val="single" w:color="auto" w:sz="4" w:space="0"/>
              <w:right w:val="single" w:color="auto" w:sz="4" w:space="0"/>
            </w:tcBorders>
            <w:textDirection w:val="tbRlV"/>
            <w:vAlign w:val="center"/>
          </w:tcPr>
          <w:p>
            <w:pPr>
              <w:ind w:left="113" w:right="113"/>
              <w:jc w:val="center"/>
              <w:rPr>
                <w:rFonts w:ascii="仿宋_GB2312" w:hAnsi="仿宋_GB2312" w:eastAsia="仿宋_GB2312" w:cs="仿宋_GB2312"/>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亓玉娟</w:t>
            </w:r>
          </w:p>
        </w:tc>
        <w:tc>
          <w:tcPr>
            <w:tcW w:w="4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烟台市翔海工程项目管理有限公司</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工程师</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p>
        </w:tc>
        <w:tc>
          <w:tcPr>
            <w:tcW w:w="1008"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069" w:hRule="atLeast"/>
          <w:jc w:val="center"/>
        </w:trPr>
        <w:tc>
          <w:tcPr>
            <w:tcW w:w="1075" w:type="dxa"/>
            <w:vMerge w:val="continue"/>
            <w:tcBorders>
              <w:left w:val="single" w:color="auto" w:sz="4" w:space="0"/>
              <w:right w:val="single" w:color="auto" w:sz="4" w:space="0"/>
            </w:tcBorders>
            <w:textDirection w:val="tbRlV"/>
            <w:vAlign w:val="center"/>
          </w:tcPr>
          <w:p>
            <w:pPr>
              <w:ind w:left="113" w:right="113"/>
              <w:jc w:val="center"/>
              <w:rPr>
                <w:rFonts w:ascii="仿宋_GB2312" w:hAnsi="仿宋_GB2312" w:eastAsia="仿宋_GB2312" w:cs="仿宋_GB2312"/>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蒋立凯</w:t>
            </w:r>
          </w:p>
        </w:tc>
        <w:tc>
          <w:tcPr>
            <w:tcW w:w="40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海阳市经济技术开发区建筑公司</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二级注册建造师</w:t>
            </w:r>
          </w:p>
        </w:tc>
        <w:tc>
          <w:tcPr>
            <w:tcW w:w="1584"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kern w:val="0"/>
                <w:sz w:val="24"/>
                <w:szCs w:val="24"/>
              </w:rPr>
            </w:pPr>
          </w:p>
        </w:tc>
        <w:tc>
          <w:tcPr>
            <w:tcW w:w="1008"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248" w:hRule="atLeast"/>
          <w:jc w:val="center"/>
        </w:trPr>
        <w:tc>
          <w:tcPr>
            <w:tcW w:w="1075" w:type="dxa"/>
            <w:vMerge w:val="continue"/>
            <w:tcBorders>
              <w:left w:val="single" w:color="auto" w:sz="4" w:space="0"/>
              <w:right w:val="single" w:color="auto" w:sz="4" w:space="0"/>
            </w:tcBorders>
            <w:textDirection w:val="tbRlV"/>
            <w:vAlign w:val="center"/>
          </w:tcPr>
          <w:p>
            <w:pPr>
              <w:ind w:left="113" w:right="113"/>
              <w:jc w:val="center"/>
              <w:rPr>
                <w:rFonts w:ascii="仿宋_GB2312" w:hAnsi="仿宋_GB2312" w:eastAsia="仿宋_GB2312" w:cs="仿宋_GB2312"/>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仿宋_GB2312" w:hAnsi="仿宋_GB2312" w:eastAsia="仿宋_GB2312" w:cs="仿宋_GB2312"/>
                <w:sz w:val="24"/>
                <w:szCs w:val="24"/>
              </w:rPr>
              <w:t>孙洪彦</w:t>
            </w:r>
          </w:p>
        </w:tc>
        <w:tc>
          <w:tcPr>
            <w:tcW w:w="40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仿宋_GB2312" w:hAnsi="仿宋_GB2312" w:eastAsia="仿宋_GB2312" w:cs="仿宋_GB2312"/>
                <w:sz w:val="24"/>
                <w:szCs w:val="24"/>
              </w:rPr>
              <w:t>烟台市水利勘测设计研究院有限公司</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szCs w:val="24"/>
              </w:rPr>
            </w:pPr>
            <w:r>
              <w:rPr>
                <w:rFonts w:hint="eastAsia" w:ascii="仿宋_GB2312" w:hAnsi="仿宋_GB2312" w:eastAsia="仿宋_GB2312" w:cs="仿宋_GB2312"/>
                <w:sz w:val="24"/>
                <w:szCs w:val="24"/>
              </w:rPr>
              <w:t>研究员</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4"/>
              </w:rPr>
            </w:pPr>
          </w:p>
        </w:tc>
        <w:tc>
          <w:tcPr>
            <w:tcW w:w="1008"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特邀专家</w:t>
            </w:r>
          </w:p>
        </w:tc>
      </w:tr>
    </w:tbl>
    <w:p>
      <w:pPr>
        <w:ind w:firstLine="600" w:firstLineChars="200"/>
        <w:outlineLvl w:val="0"/>
        <w:rPr>
          <w:rFonts w:ascii="Times New Roman" w:hAnsi="Times New Roman" w:eastAsia="黑体" w:cs="Times New Roman"/>
          <w:sz w:val="30"/>
          <w:szCs w:val="30"/>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645869"/>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4627A"/>
    <w:rsid w:val="003451DF"/>
    <w:rsid w:val="004B42E9"/>
    <w:rsid w:val="007D43BE"/>
    <w:rsid w:val="00C82B2C"/>
    <w:rsid w:val="00CE087D"/>
    <w:rsid w:val="028D6B4D"/>
    <w:rsid w:val="043F62F5"/>
    <w:rsid w:val="116B7587"/>
    <w:rsid w:val="125432D9"/>
    <w:rsid w:val="1B977BB3"/>
    <w:rsid w:val="2115389D"/>
    <w:rsid w:val="21FB7A3B"/>
    <w:rsid w:val="290A5C6D"/>
    <w:rsid w:val="29690A5E"/>
    <w:rsid w:val="326D6234"/>
    <w:rsid w:val="3654627A"/>
    <w:rsid w:val="54A0489D"/>
    <w:rsid w:val="5B055837"/>
    <w:rsid w:val="77515F5C"/>
    <w:rsid w:val="7B316C6A"/>
    <w:rsid w:val="7DFE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引文目录标题1"/>
    <w:basedOn w:val="1"/>
    <w:next w:val="1"/>
    <w:qFormat/>
    <w:uiPriority w:val="0"/>
    <w:pPr>
      <w:spacing w:before="120"/>
    </w:pPr>
    <w:rPr>
      <w:rFonts w:ascii="Arial" w:hAnsi="Arial" w:cs="Arial"/>
      <w:sz w:val="24"/>
    </w:rPr>
  </w:style>
  <w:style w:type="paragraph" w:styleId="3">
    <w:name w:val="Balloon Text"/>
    <w:basedOn w:val="1"/>
    <w:link w:val="8"/>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332</Words>
  <Characters>1899</Characters>
  <Lines>15</Lines>
  <Paragraphs>4</Paragraphs>
  <TotalTime>28</TotalTime>
  <ScaleCrop>false</ScaleCrop>
  <LinksUpToDate>false</LinksUpToDate>
  <CharactersWithSpaces>2227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2020-04-03T03:14:00Z</dcterms:created>
  <dc:creator>冰柠檬</dc:creator>
  <cp:lastModifiedBy>xianghailiu</cp:lastModifiedBy>
  <cp:lastPrinted>2020-05-06T01:56:00Z</cp:lastPrinted>
  <dcterms:modified xsi:type="dcterms:W3CDTF">2020-12-31T05:37:02Z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